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苏银理财恒源6月定开2期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苏银理财恒源6月定开2期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2022年02月09日</w:t>
      </w:r>
      <w:r>
        <w:rPr>
          <w:rFonts w:ascii="楷体" w:eastAsia="楷体" w:hAnsi="楷体" w:cs="楷体" w:hint="eastAsia"/>
        </w:rPr>
        <w:t xml:space="preserve">成立，于</w:t>
      </w:r>
      <w:r>
        <w:rPr>
          <w:rFonts w:ascii="楷体" w:eastAsia="楷体" w:hAnsi="楷体" w:cs="楷体" w:hint="eastAsia"/>
          <w:spacing w:val="-7"/>
        </w:rPr>
        <w:t xml:space="preserve">2022年02月09日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苏银理财恒源6月定开2期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Z7003122000006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346,561,315.52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346,672,426.61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31000188000473249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346,705,729.94</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苏银理财恒源6月定开2期A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1.000311</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1.111384</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苏银理财恒源6月定开2期C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1.000329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1.115005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苏银理财恒源6月定开2期D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1.000342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1.115197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苏银理财恒源6月定开2期F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1.000316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1.088917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苏银理财恒源6月定开2期G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1.000334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1.059781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苏银理财恒源6月定开2期K</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1.000290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1.055565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苏银理财恒源6月定开2期ZJ（自动赎回）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1.000550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1.000550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2.35%-3.15%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20.03%</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79.97%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20.03%</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79.97%</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80,551,319.57</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22.96%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13,724,886.65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3.91%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24国开10</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12,596,616.17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3.59%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24交行永续债01BC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9,975,766.24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25国开08</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9,884,318.53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24工行二级资本债01A(BC)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8,878,797.65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24工行二级资本债02BC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6,819,864.70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25超长特别国债06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6,521,839.62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23交行二级资本债01A</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5,887,855.30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24建行二级资本债03BC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5,554,454.95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3,350,963.00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3,500,000.00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2,683,270.00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129,243,955.00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160,001,900.00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2,326,213.00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12,319.24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17,732.29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43,880.78</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346,561,315.52</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347,758,381.52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三季度债券市场整体上震荡走弱，从估值角度来看30年国债活跃券从1.85%上行28BP至2.13%，10年国债活跃券由1.64%上行14BP至1.78%，期间30年最高触及2.18%，10年触及1.835%。</w:t>
      </w:r>
      <w:r>
        <w:rPr>
          <w:rFonts w:ascii="楷体" w:eastAsia="楷体" w:hAnsi="楷体" w:cs="楷体" w:hint="eastAsia"/>
          <w:spacing w:val="8"/>
          <w:sz w:val="21"/>
        </w:rPr>
        <w:br/>
      </w:r>
      <w:r>
        <w:rPr>
          <w:rFonts w:ascii="楷体" w:eastAsia="楷体" w:hAnsi="楷体" w:cs="楷体" w:hint="eastAsia"/>
          <w:spacing w:val="8"/>
          <w:sz w:val="21"/>
        </w:rPr>
        <w:t xml:space="preserve">    从利差角度，三季度10Y-1Y期限利差（由中债估值计算）由30.67BP走阔至49.52BP，收益率曲线整体呈熊陡走势。</w:t>
      </w:r>
      <w:r>
        <w:rPr>
          <w:rFonts w:ascii="楷体" w:eastAsia="楷体" w:hAnsi="楷体" w:cs="楷体" w:hint="eastAsia"/>
          <w:spacing w:val="8"/>
          <w:sz w:val="21"/>
        </w:rPr>
        <w:br/>
      </w:r>
      <w:r>
        <w:rPr>
          <w:rFonts w:ascii="楷体" w:eastAsia="楷体" w:hAnsi="楷体" w:cs="楷体" w:hint="eastAsia"/>
          <w:spacing w:val="8"/>
          <w:sz w:val="21"/>
        </w:rPr>
        <w:t xml:space="preserve">  三季度债市出现大幅调整原因如下：</w:t>
      </w:r>
      <w:r>
        <w:rPr>
          <w:rFonts w:ascii="楷体" w:eastAsia="楷体" w:hAnsi="楷体" w:cs="楷体" w:hint="eastAsia"/>
          <w:spacing w:val="8"/>
          <w:sz w:val="21"/>
        </w:rPr>
        <w:br/>
      </w:r>
      <w:r>
        <w:rPr>
          <w:rFonts w:ascii="楷体" w:eastAsia="楷体" w:hAnsi="楷体" w:cs="楷体" w:hint="eastAsia"/>
          <w:spacing w:val="8"/>
          <w:sz w:val="21"/>
        </w:rPr>
        <w:t xml:space="preserve">  ①权益市场持续上涨，今年以来权益市场在多方面因素（宏观叙事逻辑改变，经济结构性亮点-机器人，deepseek，科技公司AI资本开支大增，中美贸易谈判如期推进，流动性充裕，9月3日大阅兵盛典提振情绪等）利好背景下震荡上行，自6月23日更是走出一波单边上涨行情，在市场赚钱效应带动下，融资余额也持续上涨，资金的持续涌入也进一步推动指数创近10年的新高。</w:t>
      </w:r>
      <w:r>
        <w:rPr>
          <w:rFonts w:ascii="楷体" w:eastAsia="楷体" w:hAnsi="楷体" w:cs="楷体" w:hint="eastAsia"/>
          <w:spacing w:val="8"/>
          <w:sz w:val="21"/>
        </w:rPr>
        <w:br/>
      </w:r>
      <w:r>
        <w:rPr>
          <w:rFonts w:ascii="楷体" w:eastAsia="楷体" w:hAnsi="楷体" w:cs="楷体" w:hint="eastAsia"/>
          <w:spacing w:val="8"/>
          <w:sz w:val="21"/>
        </w:rPr>
        <w:t xml:space="preserve">  ②自7月初中央财经委第六次会议，提出“依法依规治理企业低价无序竞争，引导企业提升产品品质，推动落后产能有序退出”，以打破通缩为代表的宏观叙事逻辑进一步演绎，“反内卷”逐渐在多个行业开始深度推进。尽管本轮产能出清相较于2015-2018年更市场化，所涉及的行业也更接近下游消费品，产能出清过程更温和，但由于PPI和企业盈利均处于低位，权益市场对“反内卷”所带动的出厂价格上涨及企业盈利环比改善给予积极定价，债市相对承压。</w:t>
      </w:r>
      <w:r>
        <w:rPr>
          <w:rFonts w:ascii="楷体" w:eastAsia="楷体" w:hAnsi="楷体" w:cs="楷体" w:hint="eastAsia"/>
          <w:spacing w:val="8"/>
          <w:sz w:val="21"/>
        </w:rPr>
        <w:br/>
      </w:r>
      <w:r>
        <w:rPr>
          <w:rFonts w:ascii="楷体" w:eastAsia="楷体" w:hAnsi="楷体" w:cs="楷体" w:hint="eastAsia"/>
          <w:spacing w:val="8"/>
          <w:sz w:val="21"/>
        </w:rPr>
        <w:t xml:space="preserve">  ③9月初，证监会发布《开放式证券投资基金销售费用管理规定（征求意见稿）》，对持有期多于六个月的投资者可不支付赎回费，较原部分产品“7天以上免赎回费”，对投资者短期持有成本明显增加，在今年债基整体收益不佳背景下，赎回费的增加无疑进一步加剧市场的脆弱性，部分机构客户为避免缴纳高额赎回费，选择在新规落地之前赎回债基更是加重债市的抛压，收益率在9月进一步上行。</w:t>
      </w:r>
      <w:r>
        <w:rPr>
          <w:rFonts w:ascii="楷体" w:eastAsia="楷体" w:hAnsi="楷体" w:cs="楷体" w:hint="eastAsia"/>
          <w:spacing w:val="8"/>
          <w:sz w:val="21"/>
        </w:rPr>
        <w:br/>
      </w:r>
      <w:r>
        <w:rPr>
          <w:rFonts w:ascii="楷体" w:eastAsia="楷体" w:hAnsi="楷体" w:cs="楷体" w:hint="eastAsia"/>
          <w:spacing w:val="8"/>
          <w:sz w:val="21"/>
        </w:rPr>
        <w:t xml:space="preserve">  从经济数据角度，3季度的经济数据整体依然呈现生产偏强，需求偏弱格局，已经披露的7、8月多项经济数据显著低于预期，债市并未对经济基本面过多定价。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800"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802"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803"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805"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2025-10-21T11:02:31Z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