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b/>
          <w:sz w:val="36"/>
          <w:szCs w:val="36"/>
        </w:rPr>
      </w:pPr>
      <w:bookmarkStart w:id="0" w:name="_GoBack"/>
      <w:bookmarkEnd w:id="0"/>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苏银理财启源现金1号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rPr>
      </w:pPr>
      <w:r>
        <w:rPr>
          <w:rFonts w:ascii="楷体" w:eastAsia="楷体" w:hAnsi="楷体" w:cs="楷体" w:hint="eastAsia"/>
        </w:rPr>
        <w:t xml:space="preserve">“</w:t>
      </w:r>
      <w:r>
        <w:rPr>
          <w:rFonts w:ascii="楷体" w:eastAsia="楷体" w:hAnsi="楷体" w:cs="楷体" w:hint="eastAsia"/>
          <w:spacing w:val="-7"/>
        </w:rPr>
        <w:t xml:space="preserve">苏银理财启源现金1号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2018年08月30日</w:t>
      </w:r>
      <w:r>
        <w:rPr>
          <w:rFonts w:ascii="楷体" w:eastAsia="楷体" w:hAnsi="楷体" w:cs="楷体" w:hint="eastAsia"/>
        </w:rPr>
        <w:t xml:space="preserve">成立，于</w:t>
      </w:r>
      <w:r>
        <w:rPr>
          <w:rFonts w:ascii="楷体" w:eastAsia="楷体" w:hAnsi="楷体" w:cs="楷体" w:hint="eastAsia"/>
          <w:spacing w:val="-7"/>
        </w:rPr>
        <w:t xml:space="preserve">2018年08月30日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rPr>
      </w:pPr>
    </w:p>
    <w:p>
      <w:pPr>
        <w:pStyle w:val="Heading3"/>
        <w:rPr>
          <w:rFonts w:ascii="楷体" w:hAnsi="楷体" w:cs="楷体"/>
        </w:rPr>
      </w:pPr>
      <w:r>
        <w:rPr>
          <w:rFonts w:ascii="楷体" w:hAnsi="楷体" w:cs="楷体" w:hint="eastAsia"/>
        </w:rPr>
        <w:t xml:space="preserve">一</w:t>
      </w:r>
      <w:bookmarkStart w:id="1" w:name="_Toc535504139"/>
      <w:r>
        <w:rPr>
          <w:rFonts w:ascii="楷体" w:hAnsi="楷体" w:cs="楷体" w:hint="eastAsia"/>
        </w:rPr>
        <w:t xml:space="preserve">、产品基本情况</w:t>
      </w:r>
      <w:bookmarkEnd w:id="1"/>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sz w:val="22"/>
                <w:szCs w:val="22"/>
                <w:highlight w:val="yellow"/>
              </w:rPr>
            </w:pPr>
            <w:r>
              <w:rPr>
                <w:rFonts w:hint="eastAsia"/>
                <w:spacing w:val="-6"/>
                <w:sz w:val="22"/>
                <w:szCs w:val="22"/>
              </w:rPr>
              <w:t xml:space="preserve">苏银理财启源现金1号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sz w:val="22"/>
                <w:szCs w:val="22"/>
                <w:highlight w:val="yellow"/>
              </w:rPr>
            </w:pPr>
            <w:r>
              <w:rPr>
                <w:rFonts w:hint="eastAsia"/>
                <w:spacing w:val="-1"/>
                <w:sz w:val="22"/>
                <w:szCs w:val="22"/>
              </w:rPr>
              <w:t xml:space="preserve">Z7003121000014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sz w:val="22"/>
                <w:szCs w:val="22"/>
                <w:highlight w:val="yellow"/>
              </w:rPr>
            </w:pPr>
            <w:r>
              <w:rPr>
                <w:rFonts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sz w:val="22"/>
                <w:szCs w:val="22"/>
                <w:highlight w:val="yellow"/>
              </w:rPr>
            </w:pPr>
            <w:r>
              <w:rPr>
                <w:rFonts w:hint="eastAsia"/>
                <w:spacing w:val="-1"/>
                <w:sz w:val="22"/>
                <w:szCs w:val="22"/>
              </w:rPr>
              <w:t xml:space="preserve">32,761,834,876.97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sz w:val="22"/>
                <w:szCs w:val="22"/>
                <w:highlight w:val="yellow"/>
              </w:rPr>
            </w:pPr>
            <w:r>
              <w:rPr>
                <w:rFonts w:hint="eastAsia"/>
                <w:spacing w:val="-1"/>
                <w:sz w:val="22"/>
                <w:szCs w:val="22"/>
              </w:rPr>
              <w:t xml:space="preserve">32,761,834,876.97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sz w:val="22"/>
                <w:szCs w:val="22"/>
                <w:highlight w:val="yellow"/>
              </w:rPr>
            </w:pPr>
            <w:r>
              <w:rPr>
                <w:rFonts w:hint="eastAsia"/>
                <w:spacing w:val="-8"/>
                <w:sz w:val="22"/>
                <w:szCs w:val="22"/>
              </w:rPr>
              <w:t xml:space="preserve">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sz w:val="22"/>
                <w:szCs w:val="22"/>
                <w:highlight w:val="yellow"/>
              </w:rPr>
            </w:pPr>
            <w:r>
              <w:rPr>
                <w:rFonts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sz w:val="22"/>
                <w:szCs w:val="22"/>
                <w:highlight w:val="yellow"/>
              </w:rPr>
            </w:pPr>
            <w:r>
              <w:rPr>
                <w:rFonts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sz w:val="22"/>
                <w:szCs w:val="22"/>
                <w:highlight w:val="yellow"/>
              </w:rPr>
            </w:pPr>
            <w:r>
              <w:rPr>
                <w:rFonts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sz w:val="22"/>
                <w:szCs w:val="22"/>
                <w:highlight w:val="yellow"/>
              </w:rPr>
            </w:pPr>
            <w:r>
              <w:rPr>
                <w:rFonts w:hint="eastAsia"/>
                <w:spacing w:val="-1"/>
                <w:sz w:val="22"/>
                <w:szCs w:val="22"/>
              </w:rPr>
              <w:t xml:space="preserve">31000188000310268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sz w:val="22"/>
                <w:szCs w:val="22"/>
              </w:rPr>
            </w:pPr>
            <w:r>
              <w:rPr>
                <w:rFonts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sz w:val="22"/>
                <w:szCs w:val="22"/>
              </w:rPr>
            </w:pPr>
            <w:r>
              <w:rPr>
                <w:rFonts w:hint="eastAsia"/>
                <w:spacing w:val="-1"/>
                <w:sz w:val="22"/>
                <w:szCs w:val="22"/>
              </w:rPr>
              <w:t xml:space="preserve">35,962,076,389.34</w:t>
            </w:r>
            <w:r>
              <w:rPr>
                <w:rFonts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sz w:val="22"/>
                <w:szCs w:val="22"/>
              </w:rPr>
            </w:pPr>
            <w:r>
              <w:rPr>
                <w:rFonts w:hint="eastAsia"/>
                <w:spacing w:val="-4"/>
                <w:sz w:val="22"/>
                <w:szCs w:val="22"/>
              </w:rPr>
              <w:t xml:space="preserve">109.77%</w:t>
            </w:r>
          </w:p>
        </w:tc>
      </w:tr>
    </w:tbl>
    <w:p>
      <w:pPr>
        <w:pStyle w:val="标题4"/>
        <w:rPr>
          <w:rFonts w:ascii="楷体" w:hAnsi="楷体" w:cs="楷体"/>
        </w:rPr>
      </w:pPr>
    </w:p>
    <w:p>
      <w:pPr>
        <w:pStyle w:val="Heading3"/>
        <w:rPr>
          <w:rFonts w:ascii="楷体" w:hAnsi="楷体" w:cs="楷体"/>
        </w:rPr>
      </w:pPr>
      <w:r>
        <w:rPr>
          <w:rFonts w:ascii="楷体" w:hAnsi="楷体" w:cs="楷体" w:hint="eastAsia"/>
        </w:rPr>
        <w:t xml:space="preserve">二、产品收益与业绩比较基准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085"/>
        <w:gridCol w:w="1500"/>
        <w:gridCol w:w="1665"/>
        <w:gridCol w:w="1861"/>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报告日期</w:t>
            </w:r>
          </w:p>
        </w:tc>
        <w:tc>
          <w:tcPr>
            <w:tcW w:w="2085" w:type="dxa"/>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销售名称</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每万份收益</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七日年化收益率</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sz w:val="22"/>
                <w:szCs w:val="22"/>
              </w:rPr>
            </w:pPr>
            <w:r>
              <w:rPr>
                <w:rFonts w:ascii="楷体" w:eastAsia="楷体" w:hAnsi="楷体" w:cs="楷体" w:hint="eastAsia"/>
                <w:sz w:val="22"/>
                <w:szCs w:val="22"/>
              </w:rPr>
              <w:t xml:space="preserve">2025-09-30</w:t>
            </w:r>
          </w:p>
        </w:tc>
        <w:tc>
          <w:tcPr>
            <w:tcW w:w="2085" w:type="dxa"/>
          </w:tcPr>
          <w:p>
            <w:pPr>
              <w:jc w:val="center"/>
              <w:rPr>
                <w:rFonts w:ascii="楷体" w:eastAsia="楷体" w:hAnsi="楷体" w:cs="楷体"/>
                <w:sz w:val="22"/>
                <w:szCs w:val="22"/>
              </w:rPr>
            </w:pPr>
            <w:r>
              <w:rPr>
                <w:rFonts w:ascii="楷体" w:eastAsia="楷体" w:hAnsi="楷体" w:cs="楷体" w:hint="eastAsia"/>
                <w:sz w:val="22"/>
                <w:szCs w:val="22"/>
              </w:rPr>
              <w:t xml:space="preserve">苏银理财启源现金1号A</w:t>
            </w:r>
          </w:p>
        </w:tc>
        <w:tc>
          <w:tcPr>
            <w:tcW w:w="1500" w:type="dxa"/>
          </w:tcPr>
          <w:p>
            <w:pPr>
              <w:jc w:val="center"/>
              <w:rPr>
                <w:rFonts w:ascii="楷体" w:eastAsia="楷体" w:hAnsi="楷体" w:cs="楷体"/>
                <w:sz w:val="22"/>
                <w:szCs w:val="22"/>
              </w:rPr>
            </w:pPr>
            <w:r>
              <w:rPr>
                <w:rFonts w:ascii="楷体" w:eastAsia="楷体" w:hAnsi="楷体" w:cs="楷体" w:hint="eastAsia"/>
                <w:sz w:val="22"/>
                <w:szCs w:val="22"/>
              </w:rPr>
              <w:t xml:space="preserve">0.3901</w:t>
            </w:r>
          </w:p>
        </w:tc>
        <w:tc>
          <w:tcPr>
            <w:tcW w:w="1665" w:type="dxa"/>
          </w:tcPr>
          <w:p>
            <w:pPr>
              <w:jc w:val="center"/>
              <w:rPr>
                <w:rFonts w:ascii="楷体" w:eastAsia="楷体" w:hAnsi="楷体" w:cs="楷体"/>
                <w:sz w:val="22"/>
                <w:szCs w:val="22"/>
              </w:rPr>
            </w:pPr>
            <w:r>
              <w:rPr>
                <w:rFonts w:ascii="楷体" w:eastAsia="楷体" w:hAnsi="楷体" w:cs="楷体" w:hint="eastAsia"/>
                <w:sz w:val="22"/>
                <w:szCs w:val="22"/>
              </w:rPr>
              <w:t xml:space="preserve">1.36%</w:t>
            </w:r>
          </w:p>
        </w:tc>
        <w:tc>
          <w:tcPr>
            <w:tcW w:w="1861" w:type="dxa"/>
          </w:tcPr>
          <w:p>
            <w:pPr>
              <w:jc w:val="center"/>
              <w:rPr>
                <w:rFonts w:ascii="楷体" w:eastAsia="楷体" w:hAnsi="楷体" w:cs="楷体"/>
                <w:sz w:val="22"/>
                <w:szCs w:val="22"/>
              </w:rPr>
            </w:pPr>
            <w:r>
              <w:rPr>
                <w:rFonts w:ascii="楷体" w:eastAsia="楷体" w:hAnsi="楷体" w:cs="楷体" w:hint="eastAsia"/>
                <w:sz w:val="22"/>
                <w:szCs w:val="22"/>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苏银理财启源现金1号DG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0.3901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苏银理财启源现金1号DG2</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0.4723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苏银理财启源现金1号DG3</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0.4695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1.65%</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苏银理财启源现金1号DG4</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0.4970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苏银理财启源现金1号E</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0.4093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1.43%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苏银理财启源现金1号F</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0.3901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苏银理财启源现金1号G</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0.3846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1.34%</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苏银理财启源现金1号H</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0.3901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苏银理财启源现金1号J</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0.3709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1.28%</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苏银理财启源现金1号K</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0.3901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苏银理财启源现金1号N</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苏银理财启源现金1号P</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0.4668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1.64%</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苏银理财启源现金1号Q</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0.6527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2.83%</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苏银理财启源现金1号S</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0.3901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苏银理财启源现金1号W</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0.3161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苏银理财启源现金1号WS</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0.3873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1.35%</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苏银理财启源现金1号X</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0.3901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1.36%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085"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苏银理财启源现金1号（代发专享）</w:t>
            </w:r>
          </w:p>
        </w:tc>
        <w:tc>
          <w:tcPr>
            <w:tcW w:w="1500" w:type="dxa"/>
          </w:tcPr>
          <w:p>
            <w:pPr>
              <w:pageBreakBefore w:val="0"/>
              <w:jc w:val="center"/>
              <w:textAlignment w:val="auto"/>
            </w:pPr>
            <w:r>
              <w:rPr>
                <w:rFonts w:ascii="楷体" w:eastAsia="楷体" w:hAnsi="楷体" w:cs="楷体"/>
                <w:b w:val="0"/>
                <w:i w:val="0"/>
                <w:strike w:val="0"/>
                <w:color w:val="auto"/>
                <w:position w:val="-1"/>
                <w:sz w:val="22"/>
                <w:u w:val="none"/>
              </w:rPr>
              <w:t xml:space="preserve">0.4449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c>
          <w:tcPr>
            <w:tcW w:w="1861"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w:t>
            </w:r>
          </w:p>
        </w:tc>
      </w:tr>
    </w:tbl>
    <w:p>
      <w:pPr>
        <w:rPr>
          <w:rFonts w:ascii="楷体" w:eastAsia="楷体" w:hAnsi="楷体" w:cs="楷体"/>
        </w:rPr>
      </w:pPr>
    </w:p>
    <w:p>
      <w:pPr>
        <w:rPr>
          <w:rFonts w:ascii="楷体" w:eastAsia="楷体" w:hAnsi="楷体" w:cs="楷体"/>
          <w:sz w:val="21"/>
          <w:szCs w:val="21"/>
        </w:rPr>
      </w:pPr>
      <w:r>
        <w:rPr>
          <w:rFonts w:ascii="楷体" w:eastAsia="楷体" w:hAnsi="楷体" w:cs="楷体" w:hint="eastAsia"/>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rPr>
      </w:pPr>
    </w:p>
    <w:p>
      <w:pPr>
        <w:pStyle w:val="Heading3"/>
        <w:ind w:left="0"/>
        <w:rPr>
          <w:rFonts w:ascii="楷体" w:hAnsi="楷体" w:cs="楷体"/>
        </w:rPr>
      </w:pPr>
      <w:r>
        <w:rPr>
          <w:rFonts w:ascii="楷体" w:hAnsi="楷体" w:cs="楷体" w:hint="eastAsia"/>
        </w:rPr>
        <w:t xml:space="preserve">三、产品投资组合情况</w:t>
      </w:r>
    </w:p>
    <w:p>
      <w:pPr>
        <w:pStyle w:val="Heading3"/>
        <w:rPr>
          <w:rFonts w:ascii="楷体" w:hAnsi="楷体" w:cs="楷体"/>
          <w:b w:val="0"/>
          <w:sz w:val="21"/>
        </w:rPr>
      </w:pPr>
      <w:r>
        <w:rPr>
          <w:rFonts w:ascii="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59"/>
        <w:gridCol w:w="2644"/>
        <w:gridCol w:w="2670"/>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序号</w:t>
            </w:r>
          </w:p>
        </w:tc>
        <w:tc>
          <w:tcPr>
            <w:tcW w:w="2259"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sz w:val="22"/>
                <w:szCs w:val="22"/>
              </w:rPr>
            </w:pPr>
            <w:r>
              <w:rPr>
                <w:rFonts w:ascii="楷体" w:eastAsia="楷体" w:hAnsi="楷体" w:cs="楷体" w:hint="eastAsia"/>
                <w:sz w:val="22"/>
                <w:szCs w:val="22"/>
              </w:rPr>
              <w:t xml:space="preserve">直接投资占总资产的比例</w:t>
            </w:r>
          </w:p>
        </w:tc>
        <w:tc>
          <w:tcPr>
            <w:tcW w:w="2670" w:type="dxa"/>
            <w:vAlign w:val="center"/>
          </w:tcPr>
          <w:p>
            <w:pPr>
              <w:spacing w:line="320" w:lineRule="exact"/>
              <w:jc w:val="center"/>
              <w:rPr>
                <w:rFonts w:ascii="楷体" w:eastAsia="楷体" w:hAnsi="楷体" w:cs="楷体"/>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1</w:t>
            </w:r>
          </w:p>
        </w:tc>
        <w:tc>
          <w:tcPr>
            <w:tcW w:w="2259"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固定收益类</w:t>
            </w:r>
          </w:p>
        </w:tc>
        <w:tc>
          <w:tcPr>
            <w:tcW w:w="2644"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82.88%</w:t>
            </w:r>
          </w:p>
        </w:tc>
        <w:tc>
          <w:tcPr>
            <w:tcW w:w="2670" w:type="dxa"/>
            <w:vAlign w:val="center"/>
          </w:tcPr>
          <w:p>
            <w:pPr>
              <w:jc w:val="center"/>
              <w:rPr>
                <w:rFonts w:ascii="楷体" w:eastAsia="楷体" w:hAnsi="楷体" w:cs="楷体"/>
                <w:sz w:val="22"/>
                <w:szCs w:val="22"/>
              </w:rPr>
            </w:pPr>
            <w:r>
              <w:rPr>
                <w:rFonts w:ascii="楷体" w:eastAsia="楷体" w:hAnsi="楷体" w:cs="楷体" w:hint="eastAsia"/>
                <w:sz w:val="22"/>
                <w:szCs w:val="22"/>
              </w:rPr>
              <w:t xml:space="preserve">17.12%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59"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7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2986" w:type="dxa"/>
            <w:gridSpan w:val="2"/>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合计</w:t>
            </w:r>
          </w:p>
        </w:tc>
        <w:tc>
          <w:tcPr>
            <w:tcW w:w="2644" w:type="dxa"/>
            <w:shd w:val="clear" w:color="auto" w:fill="auto"/>
            <w:vAlign w:val="center"/>
          </w:tcPr>
          <w:p>
            <w:pPr>
              <w:jc w:val="center"/>
              <w:rPr>
                <w:rFonts w:ascii="楷体" w:eastAsia="楷体" w:hAnsi="楷体" w:cs="楷体"/>
                <w:sz w:val="22"/>
                <w:szCs w:val="22"/>
              </w:rPr>
            </w:pPr>
            <w:r>
              <w:rPr>
                <w:rFonts w:ascii="楷体" w:eastAsia="楷体" w:hAnsi="楷体" w:cs="楷体" w:hint="eastAsia"/>
                <w:sz w:val="22"/>
                <w:szCs w:val="22"/>
              </w:rPr>
              <w:t xml:space="preserve">82.88%</w:t>
            </w:r>
          </w:p>
        </w:tc>
        <w:tc>
          <w:tcPr>
            <w:tcW w:w="2670" w:type="dxa"/>
            <w:shd w:val="clear" w:color="auto" w:fill="FFFFFF"/>
            <w:vAlign w:val="center"/>
          </w:tcPr>
          <w:p>
            <w:pPr>
              <w:jc w:val="center"/>
              <w:rPr>
                <w:rFonts w:ascii="楷体" w:eastAsia="楷体" w:hAnsi="楷体" w:cs="楷体"/>
                <w:sz w:val="22"/>
                <w:szCs w:val="22"/>
              </w:rPr>
            </w:pPr>
            <w:r>
              <w:rPr>
                <w:rFonts w:ascii="楷体" w:eastAsia="楷体" w:hAnsi="楷体" w:cs="楷体" w:hint="eastAsia"/>
                <w:sz w:val="22"/>
                <w:szCs w:val="22"/>
              </w:rPr>
              <w:t xml:space="preserve">17.12%</w:t>
            </w:r>
          </w:p>
        </w:tc>
      </w:tr>
    </w:tbl>
    <w:p>
      <w:pPr>
        <w:rPr>
          <w:rFonts w:ascii="楷体" w:eastAsia="楷体" w:hAnsi="楷体" w:cs="楷体"/>
        </w:rPr>
      </w:pPr>
    </w:p>
    <w:p>
      <w:pPr>
        <w:pStyle w:val="Heading3"/>
        <w:ind w:left="0"/>
        <w:rPr>
          <w:rFonts w:ascii="楷体" w:hAnsi="楷体" w:cs="楷体"/>
          <w:b w:val="0"/>
          <w:sz w:val="21"/>
        </w:rPr>
      </w:pPr>
      <w:r>
        <w:rPr>
          <w:rFonts w:ascii="楷体" w:hAnsi="楷体" w:cs="楷体" w:hint="eastAsia"/>
          <w:b w:val="0"/>
          <w:sz w:val="21"/>
        </w:rPr>
        <w:t xml:space="preserve">（二）期末理财产品持有的前十项资产</w:t>
      </w:r>
    </w:p>
    <w:tbl>
      <w:tblPr>
        <w:tblStyle w:val="TableNormal"/>
        <w:tblW w:w="861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jc w:val="center"/>
        </w:trPr>
        <w:tc>
          <w:tcPr>
            <w:tcW w:w="873" w:type="dxa"/>
            <w:vAlign w:val="center"/>
          </w:tcPr>
          <w:p>
            <w:pPr>
              <w:jc w:val="center"/>
              <w:rPr>
                <w:rFonts w:ascii="楷体" w:eastAsia="楷体" w:hAnsi="楷体" w:cs="楷体"/>
                <w:sz w:val="22"/>
              </w:rPr>
            </w:pPr>
            <w:r>
              <w:rPr>
                <w:rFonts w:ascii="楷体" w:eastAsia="楷体" w:hAnsi="楷体" w:cs="楷体" w:hint="eastAsia"/>
                <w:sz w:val="22"/>
              </w:rPr>
              <w:t xml:space="preserve">1</w:t>
            </w:r>
          </w:p>
        </w:tc>
        <w:tc>
          <w:tcPr>
            <w:tcW w:w="2434" w:type="dxa"/>
            <w:vAlign w:val="center"/>
          </w:tcPr>
          <w:p>
            <w:pPr>
              <w:jc w:val="center"/>
              <w:rPr>
                <w:rFonts w:ascii="楷体" w:eastAsia="楷体" w:hAnsi="楷体" w:cs="楷体"/>
                <w:sz w:val="22"/>
              </w:rPr>
            </w:pPr>
            <w:r>
              <w:rPr>
                <w:rFonts w:ascii="楷体" w:eastAsia="楷体" w:hAnsi="楷体" w:cs="楷体" w:hint="eastAsia"/>
                <w:sz w:val="22"/>
              </w:rPr>
              <w:t xml:space="preserve">22农发12</w:t>
            </w:r>
          </w:p>
        </w:tc>
        <w:tc>
          <w:tcPr>
            <w:tcW w:w="1275" w:type="dxa"/>
            <w:vAlign w:val="center"/>
          </w:tcPr>
          <w:p>
            <w:pPr>
              <w:jc w:val="center"/>
              <w:rPr>
                <w:rFonts w:ascii="楷体" w:eastAsia="楷体" w:hAnsi="楷体" w:cs="楷体"/>
                <w:sz w:val="22"/>
              </w:rPr>
            </w:pPr>
            <w:r>
              <w:rPr>
                <w:rFonts w:ascii="楷体" w:eastAsia="楷体" w:hAnsi="楷体" w:cs="楷体" w:hint="eastAsia"/>
                <w:sz w:val="22"/>
              </w:rPr>
              <w:t xml:space="preserve">债券</w:t>
            </w:r>
          </w:p>
        </w:tc>
        <w:tc>
          <w:tcPr>
            <w:tcW w:w="2235" w:type="dxa"/>
            <w:vAlign w:val="center"/>
          </w:tcPr>
          <w:p>
            <w:pPr>
              <w:jc w:val="center"/>
              <w:rPr>
                <w:rFonts w:ascii="楷体" w:eastAsia="楷体" w:hAnsi="楷体" w:cs="楷体"/>
                <w:sz w:val="22"/>
              </w:rPr>
            </w:pPr>
            <w:r>
              <w:rPr>
                <w:rFonts w:ascii="楷体" w:eastAsia="楷体" w:hAnsi="楷体" w:cs="楷体" w:hint="eastAsia"/>
                <w:sz w:val="22"/>
              </w:rPr>
              <w:t xml:space="preserve">1,841,773,798.01</w:t>
            </w:r>
          </w:p>
        </w:tc>
        <w:tc>
          <w:tcPr>
            <w:tcW w:w="1800" w:type="dxa"/>
            <w:vAlign w:val="center"/>
          </w:tcPr>
          <w:p>
            <w:pPr>
              <w:jc w:val="center"/>
              <w:rPr>
                <w:rFonts w:ascii="楷体" w:eastAsia="楷体" w:hAnsi="楷体" w:cs="楷体"/>
                <w:sz w:val="22"/>
              </w:rPr>
            </w:pPr>
            <w:r>
              <w:rPr>
                <w:rFonts w:ascii="楷体" w:eastAsia="楷体" w:hAnsi="楷体" w:cs="楷体" w:hint="eastAsia"/>
                <w:sz w:val="22"/>
              </w:rPr>
              <w:t xml:space="preserve">5.10%</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1,335,197,273.43</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3.69%</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16国开13</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782,407,961.81</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2.17%</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23进出13</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754,356,850.44</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2.09%</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22进出13</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675,457,030.60</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1.87%</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25农发21</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602,361,045.73</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1.67%</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25北京银行CD010</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524,706,023.18</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银行存款20241226-5</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506,975,000.00</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1.40%</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银行存款20250121</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506,570,971.66</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1.40%</w:t>
            </w:r>
          </w:p>
        </w:tc>
      </w:tr>
      <w:tr>
        <w:trPr>
          <w:trHeight w:val="283"/>
          <w:jc w:val="center"/>
        </w:trPr>
        <w:tc>
          <w:tcPr>
            <w:tcW w:w="873"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25农发01</w:t>
            </w:r>
          </w:p>
        </w:tc>
        <w:tc>
          <w:tcPr>
            <w:tcW w:w="127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503,734,156.27</w:t>
            </w:r>
          </w:p>
        </w:tc>
        <w:tc>
          <w:tcPr>
            <w:tcW w:w="1800"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1.39%</w:t>
            </w:r>
          </w:p>
        </w:tc>
      </w:tr>
    </w:tbl>
    <w:p>
      <w:pPr>
        <w:pStyle w:val="标题4"/>
        <w:rPr>
          <w:rFonts w:ascii="楷体" w:hAnsi="楷体" w:cs="楷体"/>
        </w:rPr>
      </w:pPr>
    </w:p>
    <w:p>
      <w:pPr>
        <w:pStyle w:val="Heading3"/>
        <w:numPr>
          <w:ilvl w:val="0"/>
          <w:numId w:val="3"/>
        </w:numPr>
        <w:rPr>
          <w:rFonts w:ascii="楷体" w:hAnsi="楷体" w:cs="楷体"/>
          <w:b w:val="0"/>
          <w:sz w:val="21"/>
        </w:rPr>
      </w:pPr>
      <w:r>
        <w:rPr>
          <w:rFonts w:ascii="楷体" w:hAnsi="楷体" w:cs="楷体" w:hint="eastAsia"/>
          <w:b w:val="0"/>
          <w:sz w:val="21"/>
        </w:rPr>
        <w:t xml:space="preserve">非标资产情况</w:t>
      </w:r>
    </w:p>
    <w:p>
      <w:pPr>
        <w:ind w:firstLine="220" w:firstLineChars="100"/>
        <w:rPr>
          <w:rFonts w:ascii="楷体" w:eastAsia="楷体" w:hAnsi="楷体" w:cs="楷体"/>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spacing w:line="320" w:lineRule="exact"/>
        <w:ind w:firstLine="220" w:firstLineChars="100"/>
        <w:rPr>
          <w:rFonts w:ascii="楷体" w:eastAsia="楷体" w:hAnsi="楷体" w:cs="楷体"/>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hAnsi="楷体" w:cs="楷体"/>
                <w:sz w:val="24"/>
                <w:szCs w:val="24"/>
              </w:rPr>
            </w:pPr>
            <w:r>
              <w:rPr>
                <w:rFonts w:ascii="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sz w:val="22"/>
                <w:szCs w:val="24"/>
              </w:rPr>
            </w:pPr>
            <w:r>
              <w:rPr>
                <w:rFonts w:ascii="楷体" w:eastAsia="楷体" w:hAnsi="楷体" w:cs="楷体" w:hint="eastAsia"/>
                <w:sz w:val="22"/>
              </w:rPr>
              <w:t xml:space="preserve">-</w:t>
            </w:r>
          </w:p>
        </w:tc>
      </w:tr>
    </w:tbl>
    <w:p>
      <w:pPr>
        <w:pStyle w:val="标题4"/>
        <w:rPr>
          <w:rFonts w:ascii="楷体" w:hAnsi="楷体" w:cs="楷体"/>
        </w:rPr>
      </w:pPr>
    </w:p>
    <w:p>
      <w:pPr>
        <w:pStyle w:val="Heading3"/>
        <w:numPr>
          <w:ilvl w:val="0"/>
          <w:numId w:val="3"/>
        </w:numPr>
        <w:ind w:left="120" w:firstLine="0" w:leftChars="0" w:firstLineChars="0"/>
        <w:rPr>
          <w:rFonts w:ascii="楷体" w:hAnsi="楷体" w:cs="楷体" w:hint="eastAsia"/>
          <w:b w:val="0"/>
          <w:sz w:val="21"/>
        </w:rPr>
      </w:pPr>
      <w:r>
        <w:rPr>
          <w:rFonts w:ascii="楷体" w:hAnsi="楷体" w:cs="楷体" w:hint="eastAsia"/>
          <w:b w:val="0"/>
          <w:sz w:val="21"/>
        </w:rPr>
        <w:t xml:space="preserve">关联交易情况</w:t>
      </w:r>
    </w:p>
    <w:p>
      <w:pPr>
        <w:spacing w:line="320" w:lineRule="exact"/>
        <w:ind w:firstLine="220" w:firstLineChars="100"/>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ind w:firstLine="220" w:firstLineChars="100"/>
        <w:rPr>
          <w:rFonts w:ascii="楷体" w:eastAsia="楷体" w:hAnsi="楷体" w:cs="楷体"/>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00"/>
        <w:gridCol w:w="2191"/>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证券简称</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50"/>
        <w:gridCol w:w="1455"/>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145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金融工具名称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5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5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rPr>
          <w:rFonts w:ascii="楷体" w:eastAsia="楷体" w:hAnsi="楷体" w:cs="楷体"/>
          <w:sz w:val="22"/>
          <w:szCs w:val="24"/>
        </w:rPr>
      </w:pPr>
    </w:p>
    <w:p>
      <w:pPr>
        <w:numPr>
          <w:ilvl w:val="0"/>
          <w:numId w:val="4"/>
        </w:numPr>
        <w:ind w:firstLine="220" w:firstLineChars="100"/>
        <w:rPr>
          <w:rFonts w:ascii="楷体" w:eastAsia="楷体" w:hAnsi="楷体" w:cs="楷体"/>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15"/>
        <w:gridCol w:w="3540"/>
        <w:gridCol w:w="3166"/>
      </w:tblGrid>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关联方名称</w:t>
            </w:r>
          </w:p>
        </w:tc>
        <w:tc>
          <w:tcPr>
            <w:tcW w:w="316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苏州银行股份有限公司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29,328.10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2,279,190,103.08</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1,518,000,000.00</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6,453,900.61</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292.04</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1,600,584.26</w:t>
            </w:r>
          </w:p>
        </w:tc>
      </w:tr>
      <w:tr>
        <w:trPr>
          <w:trHeight w:val="283"/>
        </w:trPr>
        <w:tc>
          <w:tcPr>
            <w:tcW w:w="191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华泰证券股份有限公司</w:t>
            </w:r>
          </w:p>
        </w:tc>
        <w:tc>
          <w:tcPr>
            <w:tcW w:w="316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82,616,575.34</w:t>
            </w:r>
          </w:p>
        </w:tc>
      </w:tr>
    </w:tbl>
    <w:p>
      <w:pPr>
        <w:pStyle w:val="标题4"/>
        <w:rPr>
          <w:rFonts w:ascii="楷体" w:hAnsi="楷体" w:cs="楷体" w:hint="eastAsia"/>
          <w:sz w:val="21"/>
          <w:szCs w:val="21"/>
        </w:rPr>
      </w:pPr>
      <w:r>
        <w:rPr>
          <w:rFonts w:ascii="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96,539.51</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hAnsi="楷体" w:cs="楷体" w:hint="eastAsia"/>
          <w:sz w:val="21"/>
          <w:szCs w:val="21"/>
        </w:rPr>
      </w:pPr>
    </w:p>
    <w:p>
      <w:pPr>
        <w:rPr>
          <w:rFonts w:ascii="楷体" w:eastAsia="楷体" w:hAnsi="楷体" w:cs="楷体"/>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sz w:val="22"/>
              </w:rPr>
            </w:pPr>
            <w:r>
              <w:rPr>
                <w:rFonts w:ascii="楷体" w:eastAsia="楷体" w:hAnsi="楷体" w:cs="楷体" w:hint="eastAsia"/>
                <w:sz w:val="22"/>
              </w:rPr>
              <w:t xml:space="preserve">-</w:t>
            </w:r>
          </w:p>
        </w:tc>
      </w:tr>
    </w:tbl>
    <w:p>
      <w:pPr>
        <w:ind w:firstLine="420" w:firstLineChars="200"/>
        <w:rPr>
          <w:rFonts w:ascii="楷体" w:eastAsia="楷体" w:hAnsi="楷体" w:cs="楷体"/>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bCs/>
          <w:kern w:val="0"/>
          <w:szCs w:val="21"/>
        </w:rPr>
      </w:pPr>
    </w:p>
    <w:p>
      <w:pPr>
        <w:rPr>
          <w:rFonts w:ascii="楷体" w:eastAsia="楷体" w:hAnsi="楷体" w:cs="楷体"/>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sz w:val="22"/>
              </w:rPr>
            </w:pPr>
            <w:r>
              <w:rPr>
                <w:rFonts w:ascii="楷体" w:eastAsia="楷体" w:hAnsi="楷体" w:cs="楷体" w:hint="eastAsia"/>
                <w:sz w:val="22"/>
              </w:rPr>
              <w:t xml:space="preserve">32,761,834,876.97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32,875,475,106.57</w:t>
            </w:r>
          </w:p>
        </w:tc>
      </w:tr>
    </w:tbl>
    <w:p>
      <w:pPr>
        <w:pStyle w:val="标题4"/>
        <w:rPr>
          <w:rFonts w:ascii="楷体" w:hAnsi="楷体" w:cs="楷体"/>
        </w:rPr>
      </w:pPr>
    </w:p>
    <w:p>
      <w:pPr>
        <w:pStyle w:val="标题4"/>
        <w:rPr>
          <w:rFonts w:ascii="楷体" w:hAnsi="楷体" w:cs="楷体"/>
          <w:sz w:val="22"/>
          <w:szCs w:val="24"/>
        </w:rPr>
      </w:pPr>
      <w:r>
        <w:rPr>
          <w:rFonts w:ascii="楷体" w:hAnsi="楷体" w:cs="楷体" w:hint="eastAsia"/>
          <w:sz w:val="22"/>
          <w:szCs w:val="24"/>
        </w:rPr>
        <w:t xml:space="preserve">（七）报告期内单一投资者持有产品份额比例达到或者超过总份额20%的情形</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335"/>
        <w:gridCol w:w="1725"/>
        <w:gridCol w:w="1980"/>
        <w:gridCol w:w="1905"/>
        <w:gridCol w:w="16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pStyle w:val="标题4"/>
              <w:jc w:val="center"/>
              <w:rPr>
                <w:rFonts w:ascii="楷体" w:hAnsi="楷体" w:cs="楷体"/>
                <w:sz w:val="22"/>
                <w:szCs w:val="24"/>
              </w:rPr>
            </w:pPr>
            <w:r>
              <w:rPr>
                <w:rFonts w:ascii="楷体" w:hAnsi="楷体" w:cs="楷体" w:hint="eastAsia"/>
                <w:sz w:val="22"/>
                <w:szCs w:val="24"/>
              </w:rPr>
              <w:t xml:space="preserve">序号</w:t>
            </w:r>
          </w:p>
        </w:tc>
        <w:tc>
          <w:tcPr>
            <w:tcW w:w="1725" w:type="dxa"/>
          </w:tcPr>
          <w:p>
            <w:pPr>
              <w:pStyle w:val="标题4"/>
              <w:jc w:val="center"/>
              <w:rPr>
                <w:rFonts w:ascii="楷体" w:hAnsi="楷体" w:cs="楷体"/>
                <w:sz w:val="22"/>
                <w:szCs w:val="24"/>
              </w:rPr>
            </w:pPr>
            <w:r>
              <w:rPr>
                <w:rFonts w:ascii="楷体" w:hAnsi="楷体" w:cs="楷体" w:hint="eastAsia"/>
                <w:sz w:val="22"/>
                <w:szCs w:val="24"/>
              </w:rPr>
              <w:t xml:space="preserve">投资者类别</w:t>
            </w:r>
          </w:p>
        </w:tc>
        <w:tc>
          <w:tcPr>
            <w:tcW w:w="1980" w:type="dxa"/>
          </w:tcPr>
          <w:p>
            <w:pPr>
              <w:pStyle w:val="标题4"/>
              <w:jc w:val="center"/>
              <w:rPr>
                <w:rFonts w:ascii="楷体" w:hAnsi="楷体" w:cs="楷体"/>
                <w:sz w:val="22"/>
                <w:szCs w:val="24"/>
              </w:rPr>
            </w:pPr>
            <w:r>
              <w:rPr>
                <w:rFonts w:ascii="楷体" w:hAnsi="楷体" w:cs="楷体" w:hint="eastAsia"/>
                <w:sz w:val="22"/>
                <w:szCs w:val="24"/>
              </w:rPr>
              <w:t xml:space="preserve">期末持有份额</w:t>
            </w:r>
          </w:p>
        </w:tc>
        <w:tc>
          <w:tcPr>
            <w:tcW w:w="1905" w:type="dxa"/>
          </w:tcPr>
          <w:p>
            <w:pPr>
              <w:pStyle w:val="标题4"/>
              <w:jc w:val="center"/>
              <w:rPr>
                <w:rFonts w:ascii="楷体" w:hAnsi="楷体" w:cs="楷体"/>
                <w:sz w:val="22"/>
                <w:szCs w:val="24"/>
              </w:rPr>
            </w:pPr>
            <w:r>
              <w:rPr>
                <w:rFonts w:ascii="楷体" w:hAnsi="楷体" w:cs="楷体" w:hint="eastAsia"/>
                <w:sz w:val="22"/>
                <w:szCs w:val="24"/>
              </w:rPr>
              <w:t xml:space="preserve">份额占比</w:t>
            </w:r>
          </w:p>
        </w:tc>
        <w:tc>
          <w:tcPr>
            <w:tcW w:w="1676" w:type="dxa"/>
          </w:tcPr>
          <w:p>
            <w:pPr>
              <w:pStyle w:val="标题4"/>
              <w:jc w:val="center"/>
              <w:rPr>
                <w:rFonts w:ascii="楷体" w:hAnsi="楷体" w:cs="楷体"/>
                <w:sz w:val="22"/>
                <w:szCs w:val="24"/>
              </w:rPr>
            </w:pPr>
            <w:r>
              <w:rPr>
                <w:rFonts w:ascii="楷体" w:hAnsi="楷体" w:cs="楷体" w:hint="eastAsia"/>
                <w:sz w:val="22"/>
                <w:szCs w:val="24"/>
              </w:rPr>
              <w:t xml:space="preserve">报告期内份额变化情况</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335" w:type="dxa"/>
          </w:tcPr>
          <w:p>
            <w:pPr>
              <w:jc w:val="center"/>
              <w:rPr>
                <w:rFonts w:ascii="楷体" w:eastAsia="楷体" w:hAnsi="楷体" w:cs="楷体"/>
                <w:sz w:val="22"/>
              </w:rPr>
            </w:pPr>
            <w:r>
              <w:rPr>
                <w:rFonts w:ascii="楷体" w:eastAsia="楷体" w:hAnsi="楷体" w:cs="楷体" w:hint="eastAsia"/>
                <w:sz w:val="22"/>
              </w:rPr>
              <w:t xml:space="preserve">-</w:t>
            </w:r>
          </w:p>
        </w:tc>
        <w:tc>
          <w:tcPr>
            <w:tcW w:w="1725" w:type="dxa"/>
          </w:tcPr>
          <w:p>
            <w:pPr>
              <w:jc w:val="center"/>
              <w:rPr>
                <w:rFonts w:ascii="楷体" w:eastAsia="楷体" w:hAnsi="楷体" w:cs="楷体"/>
                <w:sz w:val="22"/>
              </w:rPr>
            </w:pPr>
            <w:r>
              <w:rPr>
                <w:rFonts w:ascii="楷体" w:eastAsia="楷体" w:hAnsi="楷体" w:cs="楷体" w:hint="eastAsia"/>
                <w:sz w:val="22"/>
              </w:rPr>
              <w:t xml:space="preserve">-</w:t>
            </w:r>
          </w:p>
        </w:tc>
        <w:tc>
          <w:tcPr>
            <w:tcW w:w="1980" w:type="dxa"/>
          </w:tcPr>
          <w:p>
            <w:pPr>
              <w:jc w:val="center"/>
              <w:rPr>
                <w:rFonts w:ascii="楷体" w:eastAsia="楷体" w:hAnsi="楷体" w:cs="楷体"/>
                <w:sz w:val="22"/>
              </w:rPr>
            </w:pPr>
            <w:r>
              <w:rPr>
                <w:rFonts w:ascii="楷体" w:eastAsia="楷体" w:hAnsi="楷体" w:cs="楷体" w:hint="eastAsia"/>
                <w:sz w:val="22"/>
              </w:rPr>
              <w:t xml:space="preserve">-</w:t>
            </w:r>
          </w:p>
        </w:tc>
        <w:tc>
          <w:tcPr>
            <w:tcW w:w="1905" w:type="dxa"/>
          </w:tcPr>
          <w:p>
            <w:pPr>
              <w:jc w:val="center"/>
              <w:rPr>
                <w:rFonts w:ascii="楷体" w:eastAsia="楷体" w:hAnsi="楷体" w:cs="楷体"/>
                <w:sz w:val="22"/>
              </w:rPr>
            </w:pPr>
            <w:r>
              <w:rPr>
                <w:rFonts w:ascii="楷体" w:eastAsia="楷体" w:hAnsi="楷体" w:cs="楷体" w:hint="eastAsia"/>
                <w:sz w:val="22"/>
              </w:rPr>
              <w:t xml:space="preserve">-</w:t>
            </w:r>
          </w:p>
        </w:tc>
        <w:tc>
          <w:tcPr>
            <w:tcW w:w="1676" w:type="dxa"/>
          </w:tcPr>
          <w:p>
            <w:pPr>
              <w:jc w:val="center"/>
              <w:rPr>
                <w:rFonts w:ascii="楷体" w:eastAsia="楷体" w:hAnsi="楷体" w:cs="楷体"/>
                <w:sz w:val="22"/>
              </w:rPr>
            </w:pPr>
            <w:r>
              <w:rPr>
                <w:rFonts w:ascii="楷体" w:eastAsia="楷体" w:hAnsi="楷体" w:cs="楷体" w:hint="eastAsia"/>
                <w:sz w:val="22"/>
              </w:rPr>
              <w:t xml:space="preserve">-</w:t>
            </w:r>
          </w:p>
        </w:tc>
      </w:tr>
    </w:tbl>
    <w:p>
      <w:pPr>
        <w:pStyle w:val="Heading3"/>
        <w:rPr>
          <w:rFonts w:ascii="楷体" w:hAnsi="楷体" w:cs="楷体"/>
        </w:rPr>
      </w:pPr>
    </w:p>
    <w:p>
      <w:pPr>
        <w:pStyle w:val="Heading3"/>
        <w:rPr>
          <w:rFonts w:ascii="楷体" w:hAnsi="楷体" w:cs="楷体"/>
        </w:rPr>
      </w:pPr>
      <w:r>
        <w:rPr>
          <w:rFonts w:ascii="楷体" w:hAnsi="楷体" w:cs="楷体" w:hint="eastAsia"/>
        </w:rPr>
        <w:t xml:space="preserve">四</w:t>
      </w:r>
      <w:r>
        <w:rPr>
          <w:rFonts w:ascii="楷体" w:hAnsi="楷体" w:cs="楷体" w:hint="eastAsia"/>
          <w:lang w:eastAsia="zh-CN"/>
        </w:rPr>
        <w:t xml:space="preserve">、</w:t>
      </w:r>
      <w:r>
        <w:rPr>
          <w:rFonts w:ascii="楷体" w:hAnsi="楷体" w:cs="楷体" w:hint="eastAsia"/>
        </w:rPr>
        <w:t xml:space="preserve">投资运作情况</w:t>
      </w:r>
    </w:p>
    <w:p>
      <w:pPr>
        <w:pStyle w:val="Heading3"/>
        <w:rPr>
          <w:rFonts w:ascii="楷体" w:hAnsi="楷体" w:cs="楷体"/>
          <w:b w:val="0"/>
          <w:sz w:val="21"/>
        </w:rPr>
      </w:pPr>
      <w:r>
        <w:rPr>
          <w:rFonts w:ascii="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spacing w:val="8"/>
          <w:sz w:val="21"/>
        </w:rPr>
      </w:pPr>
      <w:r>
        <w:rPr>
          <w:rFonts w:ascii="楷体" w:eastAsia="楷体" w:hAnsi="楷体" w:cs="楷体" w:hint="eastAsia"/>
          <w:spacing w:val="8"/>
          <w:sz w:val="21"/>
        </w:rPr>
        <w:t xml:space="preserve">    2025年第三季度，在党中央的坚强领导下，尽管面临外部环境复杂严峻、国内经济结构调整压力较大等因素，我国经济运行仍保持稳中有进，主要宏观经济指标平稳向好，高质量发展取得新成效，经济增速进一步向全年发展目标靠近。</w:t>
      </w:r>
      <w:r>
        <w:rPr>
          <w:rFonts w:ascii="楷体" w:eastAsia="楷体" w:hAnsi="楷体" w:cs="楷体" w:hint="eastAsia"/>
          <w:spacing w:val="8"/>
          <w:sz w:val="21"/>
        </w:rPr>
        <w:br/>
      </w:r>
      <w:r>
        <w:rPr>
          <w:rFonts w:ascii="楷体" w:eastAsia="楷体" w:hAnsi="楷体" w:cs="楷体" w:hint="eastAsia"/>
          <w:spacing w:val="8"/>
          <w:sz w:val="21"/>
        </w:rPr>
        <w:t xml:space="preserve">    从经济基本面看，第三季度经济数据整体走向平稳。前三季度我国实际GDP同比增长5.2%，第三季度我国实际GDP同比增长4.8%，较上季度回落0.4个百分点；1-9月全国固定资产投资（不含农户）37.15万亿元，同比下降0.5%，其中第三季度12.29万亿元；1-9月社会消费品零售总额36.59万亿元，同比增长4.5%，进出口总额33.61万亿元，同比增长4.0%。整体来看，虽然三季度GDP增速有所回落，但受益于以旧换新等提振消费系列政策措施落地见效、产业结构优化等因素，社零和进出口增速较快，为经济增长带来持续动能。债券市场方面，第三季度债市整体震荡走弱，期限利差走阔，收益率走出“熊陡”趋势。受资金面持续宽松的影响，短端收益率相对稳定，长端品种调整幅度明显，10年期国债收益率由季初的1.65%左右一度上行触及1.83%，季末收于1.80%附近。7月债市交易围绕“反内卷”展开，相关政策推高通胀预期，叠加社融数据改善、雅下水电工程开工等基本面利好消息，开启了本轮债市回调，收益率全面上行，10年期国债收益率从季初1.65%附近上行至约1.735%；进入8月，A股持续走强叠加供给冲击使得债市继续调整，A股投交火热，“股债跷跷板”效应明显，债市资金涌向股市使得股债行情两极分化，同时，8月新增1.2万亿元专项债发行，叠加3000亿元超长期特别国债集中缴款，利率债净供给环比增加约8000亿元，供给冲击推动10年期国债收益率进一步上行至1.78%左右；9月债市转为震荡行情，且波动较大，10年期国债收益率在1.75%-1.85%区间波动，主要来源于权益市场的大幅波动、略显疲软的基本面数据、对“反内卷”和宽信用政策的担忧等多方面因素的交叠博弈。</w:t>
      </w:r>
      <w:r>
        <w:rPr>
          <w:rFonts w:ascii="楷体" w:eastAsia="楷体" w:hAnsi="楷体" w:cs="楷体" w:hint="eastAsia"/>
          <w:spacing w:val="8"/>
          <w:sz w:val="21"/>
        </w:rPr>
        <w:br/>
      </w:r>
      <w:r>
        <w:rPr>
          <w:rFonts w:ascii="楷体" w:eastAsia="楷体" w:hAnsi="楷体" w:cs="楷体" w:hint="eastAsia"/>
          <w:spacing w:val="8"/>
          <w:sz w:val="21"/>
        </w:rPr>
        <w:t xml:space="preserve">    报告期内，债券市场整体震荡走弱。管理人积极对照监管要求，严格管控现金管理类产品的信用风险、久期风险、集中度风险和流动性风险。在资产配置策略上选择以同业存单、利率债、回购和银行存款等低风险资产为主，增加了存款和回购投资比例。在收益率震荡上行的过程中，逢高配置了部分债券类资产，同时储备了一波利率相对较高的长期存款类资产。相关资产的配置主要抓住资金面波动的点进行，兼顾资产类别和期限的总体均衡，较好的把握了波段性机会。此外，本产品采用较多的杠杆策略、交易策略以及货基增强策略，成功获取一定的超额收益。</w:t>
      </w:r>
    </w:p>
    <w:p>
      <w:pPr>
        <w:pStyle w:val="BodyText"/>
        <w:spacing w:before="43" w:line="275" w:lineRule="auto"/>
        <w:ind w:right="1799" w:firstLine="226" w:firstLineChars="100"/>
        <w:rPr>
          <w:rFonts w:ascii="楷体" w:eastAsia="楷体" w:hAnsi="楷体" w:cs="楷体"/>
          <w:spacing w:val="8"/>
          <w:sz w:val="21"/>
        </w:rPr>
      </w:pPr>
    </w:p>
    <w:p>
      <w:pPr>
        <w:pStyle w:val="Heading3"/>
        <w:rPr>
          <w:rFonts w:ascii="楷体" w:hAnsi="楷体" w:cs="楷体"/>
          <w:b w:val="0"/>
          <w:sz w:val="21"/>
        </w:rPr>
      </w:pPr>
      <w:r>
        <w:rPr>
          <w:rFonts w:ascii="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sz w:val="21"/>
        </w:rPr>
      </w:pPr>
      <w:r>
        <w:rPr>
          <w:rFonts w:ascii="楷体" w:eastAsia="楷体" w:hAnsi="楷体" w:cs="楷体" w:hint="eastAsia"/>
          <w:spacing w:val="9"/>
          <w:sz w:val="21"/>
        </w:rPr>
        <w:t xml:space="preserve">    展望2025年第四季度，国际环境不确定性依然存在，受中美贸易摩擦、去年同期基数抬升影响，经济增速回落压力仍大，仍需逆周期调节政策刺激带来持续动能，市场存在降准降息政策预期，预计宏观环境将对债市友好，且三季度利率已经经历大幅度回调，四季度存在一定下行空间，策略上可择机适当布局。</w:t>
      </w:r>
      <w:r>
        <w:rPr>
          <w:rFonts w:ascii="楷体" w:eastAsia="楷体" w:hAnsi="楷体" w:cs="楷体" w:hint="eastAsia"/>
          <w:spacing w:val="9"/>
          <w:sz w:val="21"/>
        </w:rPr>
        <w:br/>
      </w:r>
      <w:r>
        <w:rPr>
          <w:rFonts w:ascii="楷体" w:eastAsia="楷体" w:hAnsi="楷体" w:cs="楷体" w:hint="eastAsia"/>
          <w:spacing w:val="9"/>
          <w:sz w:val="21"/>
        </w:rPr>
        <w:t xml:space="preserve">    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ascii="楷体" w:eastAsia="楷体" w:hAnsi="楷体" w:cs="楷体"/>
          <w:bCs/>
          <w:kern w:val="0"/>
          <w:szCs w:val="21"/>
        </w:rPr>
      </w:pPr>
    </w:p>
    <w:p>
      <w:pPr>
        <w:pStyle w:val="Heading3"/>
        <w:rPr>
          <w:rFonts w:ascii="楷体" w:hAnsi="楷体" w:cs="楷体"/>
          <w:b w:val="0"/>
          <w:sz w:val="21"/>
        </w:rPr>
      </w:pPr>
      <w:r>
        <w:rPr>
          <w:rFonts w:ascii="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sz w:val="21"/>
        </w:rPr>
      </w:pPr>
      <w:r>
        <w:rPr>
          <w:rFonts w:ascii="楷体" w:eastAsia="楷体" w:hAnsi="楷体" w:cs="楷体" w:hint="eastAsia"/>
          <w:spacing w:val="9"/>
          <w:sz w:val="21"/>
        </w:rPr>
        <w:t xml:space="preserve">    2025年三季度，市场流动性整体宽松，本产品在投资高流动性的利率债和AAA存单以外，动态调整产品杠杆率，充分做好资金准备，平稳度过各关键时点，充分满足了产品的流动性需求，保障了投资者的赎回需求。</w:t>
      </w:r>
      <w:r>
        <w:rPr>
          <w:rFonts w:ascii="楷体" w:eastAsia="楷体" w:hAnsi="楷体" w:cs="楷体" w:hint="eastAsia"/>
          <w:spacing w:val="9"/>
          <w:sz w:val="21"/>
        </w:rPr>
        <w:br/>
      </w:r>
      <w:r>
        <w:rPr>
          <w:rFonts w:ascii="楷体" w:eastAsia="楷体" w:hAnsi="楷体" w:cs="楷体" w:hint="eastAsia"/>
          <w:spacing w:val="9"/>
          <w:sz w:val="21"/>
        </w:rPr>
        <w:t xml:space="preserve">    展望后市，本产品将继续重点投资信用等级较高、流动性较好的各类标的，做好资金安排和流动性预判，充分满足产品流动性需求。</w:t>
      </w:r>
    </w:p>
    <w:p>
      <w:pPr>
        <w:ind w:firstLine="420" w:firstLineChars="200"/>
        <w:rPr>
          <w:rFonts w:ascii="楷体" w:eastAsia="楷体" w:hAnsi="楷体" w:cs="楷体"/>
          <w:bCs/>
          <w:kern w:val="0"/>
          <w:szCs w:val="21"/>
        </w:rPr>
      </w:pPr>
    </w:p>
    <w:p>
      <w:pPr>
        <w:rPr>
          <w:rFonts w:ascii="楷体" w:eastAsia="楷体" w:hAnsi="楷体" w:cs="楷体"/>
        </w:rPr>
      </w:pPr>
    </w:p>
    <w:p>
      <w:pPr>
        <w:ind w:firstLine="420" w:firstLineChars="200"/>
        <w:rPr>
          <w:rFonts w:ascii="楷体" w:eastAsia="楷体" w:hAnsi="楷体" w:cs="楷体"/>
          <w:bCs/>
          <w:kern w:val="0"/>
          <w:szCs w:val="21"/>
        </w:rPr>
      </w:pPr>
    </w:p>
    <w:p>
      <w:pPr>
        <w:rPr>
          <w:rFonts w:ascii="楷体" w:eastAsia="楷体" w:hAnsi="楷体" w:cs="楷体"/>
          <w:sz w:val="15"/>
          <w:szCs w:val="15"/>
        </w:rPr>
      </w:pPr>
    </w:p>
    <w:p>
      <w:pPr>
        <w:jc w:val="right"/>
        <w:rPr>
          <w:rFonts w:ascii="楷体" w:eastAsia="楷体" w:hAnsi="楷体" w:cs="楷体"/>
          <w:b/>
          <w:bCs/>
          <w:sz w:val="21"/>
          <w:szCs w:val="21"/>
        </w:rPr>
      </w:pPr>
      <w:r>
        <w:rPr>
          <w:rFonts w:ascii="楷体" w:eastAsia="楷体" w:hAnsi="楷体" w:cs="楷体" w:hint="eastAsia"/>
          <w:b/>
          <w:bCs/>
          <w:sz w:val="21"/>
          <w:szCs w:val="21"/>
        </w:rPr>
        <w:t xml:space="preserve">苏银理财有限责任公司</w:t>
      </w:r>
    </w:p>
    <w:p>
      <w:pPr>
        <w:jc w:val="right"/>
        <w:rPr>
          <w:rFonts w:ascii="楷体" w:eastAsia="楷体" w:hAnsi="楷体" w:cs="楷体"/>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44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44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44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44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2025-10-14T02:25:40Z</dcterms:modified>
  <cp:revision>29</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4</Pages>
  <Words>446</Words>
  <Characters>2544</Characters>
  <Application>WPS Office_10.8.2.7119_F1E327BC-269C-435d-A152-05C5408002CA</Application>
  <DocSecurity>0</DocSecurity>
  <Lines>21</Lines>
  <Paragraphs>5</Paragraphs>
  <Company>WORKGROUP</Company>
  <CharactersWithSpaces>2985</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29</cp:revision>
  <dcterms:created xsi:type="dcterms:W3CDTF">2021-11-18T10:04:00Z</dcterms:created>
  <dcterms:modified xsi:type="dcterms:W3CDTF">2025-10-22T12:00:39Z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