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苏银理财恒源最短持有30天</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苏银理财恒源最短持有30天</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2023年12月15日</w:t>
      </w:r>
      <w:r>
        <w:rPr>
          <w:rFonts w:ascii="楷体" w:eastAsia="楷体" w:hAnsi="楷体" w:cs="楷体" w:hint="eastAsia"/>
        </w:rPr>
        <w:t xml:space="preserve">成立，于</w:t>
      </w:r>
      <w:r>
        <w:rPr>
          <w:rFonts w:ascii="楷体" w:eastAsia="楷体" w:hAnsi="楷体" w:cs="楷体" w:hint="eastAsia"/>
          <w:spacing w:val="-7"/>
        </w:rPr>
        <w:t xml:space="preserve">2023年12月15日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苏银理财恒源最短持有30天</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Z7003123000194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7,983,282,853.17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8,346,292,808.88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31000188000565117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8,347,644,909.31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苏银理财恒源最短持有30天A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1.043613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1.043613</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2.00%-2.70%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1.045310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1.045310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1.046276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1.046276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1.043681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1.043681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1.046443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1.046443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1.046075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1.046075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1.044799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1.044799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苏银理财恒源最短持有30天（北部湾银行专属）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1.045476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1.045476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苏银理财恒源最短持有30天（代发专享）</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1.045070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1.045070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2.05%-2.75%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苏银理财恒源最短持有30天（私享款）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1.045989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1.045989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2.30%-3.00%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29.09%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68.60%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2.31%</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31.40%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68.60%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766,331,909.11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24农行永续债03BC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259,032,092.58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24上海银行二级资本债01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248,479,837.94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25浦发银行CD169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197,478,950.68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24浦发银行二级资本债01A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164,197,273.00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24宁波银行二级资本债02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143,882,216.18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工商银行海州支行20（20230728）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143,538,911.51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工商银行宜兴支行20（20230728）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143,538,911.51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中国农业银行昆山分行202311097219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124,024,627.89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24邮储永续债01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123,074,487.14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31,084,144.00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190,000,000.00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2,052,548.36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51,376,386.98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195,611,464.67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560,568.41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12,000,012.00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11,092.46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6,934.76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174.07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70,203.00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7,983,282,853.17</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10,575,245,319.54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30年国债活跃券从1.85%上行28BP至2.13%，10年国债活跃券由1.64%上行14BP至1.78%，期间30年最高触及2.18%，10年触及1.835%。从利差角度，三季度10Y-1Y期限利差由30.67BP走阔至49.52BP，收益率曲线整体上移。主要是受权益市场持续上涨，风险偏好上升、“反内卷”持续推进、基金赎回费新规等多重因素扰动。从经济数据角度，3季度的经济数据整体依然呈现生产偏强，需求偏弱格局，但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苏银理财恒源最短持有30天坚持稳健的投资策略，通过对国内外宏观经济态势、利率走势、收益率曲线变化趋势和信用风险变化等因素进行综合分析，坚持以票息策略打底，有较多静态收益较高、波动较低的资产，同时通过择时交易进行增厚，为客户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立足当下，债券市场短期情绪仍弱，但中期赔率改善。短期看，债券市场关注点仍在《公开募集证券投资基金销售费用管理规定(征求意见稿)》落地影响。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r>
        <w:rPr>
          <w:rFonts w:ascii="楷体" w:eastAsia="楷体" w:hAnsi="楷体" w:cs="楷体" w:hint="eastAsia"/>
          <w:spacing w:val="9"/>
          <w:sz w:val="21"/>
        </w:rPr>
        <w:br/>
      </w:r>
      <w:r>
        <w:rPr>
          <w:rFonts w:ascii="楷体" w:eastAsia="楷体" w:hAnsi="楷体" w:cs="楷体" w:hint="eastAsia"/>
          <w:spacing w:val="9"/>
          <w:sz w:val="21"/>
        </w:rPr>
        <w:t xml:space="preserve">    本组合将根据市场情况择机参与交易机会，致力于为广大投资者创造长期稳健的投资回报。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流动性风险方面，本产品持仓资产以标准化债权类资产为主，变现能力较强，同时注重调优持仓结构，确保流动性处于合理水平。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08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08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09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09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2025-10-21T11:06:15Z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